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A79" w:rsidRPr="00CE2A2C" w:rsidRDefault="00EC2A79" w:rsidP="00CE2A2C">
      <w:pPr>
        <w:spacing w:line="240" w:lineRule="exact"/>
        <w:rPr>
          <w:rFonts w:ascii="微软雅黑" w:eastAsia="微软雅黑" w:hAnsi="微软雅黑" w:cs="宋体"/>
          <w:sz w:val="22"/>
          <w:szCs w:val="22"/>
        </w:rPr>
      </w:pPr>
    </w:p>
    <w:p w:rsidR="00EC2A79" w:rsidRPr="00CE2A2C" w:rsidRDefault="00E621AE" w:rsidP="00CE2A2C">
      <w:pPr>
        <w:spacing w:line="600" w:lineRule="exact"/>
        <w:jc w:val="center"/>
        <w:rPr>
          <w:rFonts w:ascii="微软雅黑" w:eastAsia="微软雅黑" w:hAnsi="微软雅黑"/>
          <w:b/>
          <w:bCs/>
          <w:color w:val="7030A0"/>
          <w:sz w:val="40"/>
          <w:szCs w:val="40"/>
        </w:rPr>
      </w:pPr>
      <w:r w:rsidRPr="00CE2A2C">
        <w:rPr>
          <w:rFonts w:ascii="微软雅黑" w:eastAsia="微软雅黑" w:hAnsi="微软雅黑"/>
          <w:b/>
          <w:bCs/>
          <w:color w:val="7030A0"/>
          <w:sz w:val="40"/>
          <w:szCs w:val="40"/>
        </w:rPr>
        <w:t>最高人民法院</w:t>
      </w:r>
    </w:p>
    <w:p w:rsidR="00EC2A79" w:rsidRPr="00CE2A2C" w:rsidRDefault="00E621AE" w:rsidP="00CE2A2C">
      <w:pPr>
        <w:spacing w:line="600" w:lineRule="exact"/>
        <w:jc w:val="center"/>
        <w:rPr>
          <w:rFonts w:ascii="微软雅黑" w:eastAsia="微软雅黑" w:hAnsi="微软雅黑"/>
          <w:b/>
          <w:bCs/>
          <w:color w:val="7030A0"/>
          <w:sz w:val="40"/>
          <w:szCs w:val="40"/>
        </w:rPr>
      </w:pPr>
      <w:r w:rsidRPr="00CE2A2C">
        <w:rPr>
          <w:rFonts w:ascii="微软雅黑" w:eastAsia="微软雅黑" w:hAnsi="微软雅黑"/>
          <w:b/>
          <w:bCs/>
          <w:color w:val="7030A0"/>
          <w:sz w:val="40"/>
          <w:szCs w:val="40"/>
        </w:rPr>
        <w:t>关于审理涉外民商事案件适用国际条约</w:t>
      </w:r>
    </w:p>
    <w:p w:rsidR="00EC2A79" w:rsidRPr="00CE2A2C" w:rsidRDefault="00E621AE" w:rsidP="00CE2A2C">
      <w:pPr>
        <w:spacing w:line="600" w:lineRule="exact"/>
        <w:jc w:val="center"/>
        <w:rPr>
          <w:rFonts w:ascii="微软雅黑" w:eastAsia="微软雅黑" w:hAnsi="微软雅黑"/>
          <w:b/>
          <w:bCs/>
          <w:color w:val="7030A0"/>
          <w:sz w:val="40"/>
          <w:szCs w:val="40"/>
        </w:rPr>
      </w:pPr>
      <w:r w:rsidRPr="00CE2A2C">
        <w:rPr>
          <w:rFonts w:ascii="微软雅黑" w:eastAsia="微软雅黑" w:hAnsi="微软雅黑"/>
          <w:b/>
          <w:bCs/>
          <w:color w:val="7030A0"/>
          <w:sz w:val="40"/>
          <w:szCs w:val="40"/>
        </w:rPr>
        <w:t>和国际惯例若干问题的解释</w:t>
      </w:r>
      <w:bookmarkStart w:id="0" w:name="_GoBack"/>
      <w:bookmarkEnd w:id="0"/>
    </w:p>
    <w:p w:rsidR="00EC2A79" w:rsidRDefault="00EC2A79" w:rsidP="00CE2A2C">
      <w:pPr>
        <w:spacing w:line="240" w:lineRule="exact"/>
        <w:rPr>
          <w:rFonts w:ascii="微软雅黑" w:eastAsia="微软雅黑" w:hAnsi="微软雅黑" w:cs="宋体"/>
          <w:sz w:val="22"/>
          <w:szCs w:val="22"/>
        </w:rPr>
      </w:pPr>
    </w:p>
    <w:p w:rsidR="00CE2A2C" w:rsidRDefault="00CE2A2C" w:rsidP="00CE2A2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CE2A2C" w:rsidRPr="00CE2A2C" w:rsidRDefault="00CE2A2C" w:rsidP="00CE2A2C">
      <w:pPr>
        <w:spacing w:line="240" w:lineRule="exact"/>
        <w:rPr>
          <w:rFonts w:ascii="微软雅黑" w:eastAsia="微软雅黑" w:hAnsi="微软雅黑" w:cs="宋体"/>
          <w:sz w:val="22"/>
          <w:szCs w:val="22"/>
        </w:rPr>
      </w:pPr>
    </w:p>
    <w:p w:rsidR="00EC2A79" w:rsidRPr="00CE2A2C" w:rsidRDefault="00E621AE" w:rsidP="00CE2A2C">
      <w:pPr>
        <w:spacing w:line="240" w:lineRule="exact"/>
        <w:ind w:left="640" w:right="640"/>
        <w:jc w:val="center"/>
        <w:rPr>
          <w:rFonts w:ascii="微软雅黑" w:eastAsia="微软雅黑" w:hAnsi="微软雅黑" w:cs="仿宋_GB2312"/>
          <w:sz w:val="22"/>
          <w:szCs w:val="22"/>
        </w:rPr>
      </w:pPr>
      <w:r w:rsidRPr="00CE2A2C">
        <w:rPr>
          <w:rFonts w:ascii="微软雅黑" w:eastAsia="微软雅黑" w:hAnsi="微软雅黑" w:cs="仿宋_GB2312" w:hint="eastAsia"/>
          <w:sz w:val="22"/>
          <w:szCs w:val="22"/>
        </w:rPr>
        <w:t>法释</w:t>
      </w:r>
      <w:r w:rsidRPr="00CE2A2C">
        <w:rPr>
          <w:rFonts w:ascii="微软雅黑" w:eastAsia="微软雅黑" w:hAnsi="微软雅黑"/>
          <w:sz w:val="22"/>
          <w:szCs w:val="22"/>
        </w:rPr>
        <w:t>〔2023〕15</w:t>
      </w:r>
      <w:r w:rsidRPr="00CE2A2C">
        <w:rPr>
          <w:rFonts w:ascii="微软雅黑" w:eastAsia="微软雅黑" w:hAnsi="微软雅黑" w:cs="仿宋_GB2312" w:hint="eastAsia"/>
          <w:sz w:val="22"/>
          <w:szCs w:val="22"/>
        </w:rPr>
        <w:t>号</w:t>
      </w:r>
    </w:p>
    <w:p w:rsidR="00EC2A79" w:rsidRPr="00CE2A2C" w:rsidRDefault="00EC2A79" w:rsidP="00CE2A2C">
      <w:pPr>
        <w:spacing w:line="240" w:lineRule="exact"/>
        <w:rPr>
          <w:rFonts w:ascii="微软雅黑" w:eastAsia="微软雅黑" w:hAnsi="微软雅黑" w:cs="宋体"/>
          <w:sz w:val="22"/>
          <w:szCs w:val="22"/>
        </w:rPr>
      </w:pPr>
    </w:p>
    <w:p w:rsidR="00EC2A79" w:rsidRPr="00CE2A2C" w:rsidRDefault="00E621AE" w:rsidP="00CE2A2C">
      <w:pPr>
        <w:spacing w:line="240" w:lineRule="exact"/>
        <w:ind w:leftChars="200" w:left="632" w:rightChars="200" w:right="632"/>
        <w:rPr>
          <w:rFonts w:ascii="微软雅黑" w:eastAsia="微软雅黑" w:hAnsi="微软雅黑"/>
          <w:sz w:val="22"/>
          <w:szCs w:val="22"/>
        </w:rPr>
      </w:pPr>
      <w:r w:rsidRPr="00CE2A2C">
        <w:rPr>
          <w:rFonts w:ascii="微软雅黑" w:eastAsia="微软雅黑" w:hAnsi="微软雅黑"/>
          <w:sz w:val="22"/>
          <w:szCs w:val="22"/>
        </w:rPr>
        <w:t>（2023年12月5日最高人民法院审判委员会第1908次会议通过，自2024年1月1日起施行）</w:t>
      </w:r>
    </w:p>
    <w:p w:rsidR="00EC2A79" w:rsidRPr="00C4110A" w:rsidRDefault="00EC2A79" w:rsidP="00CE2A2C">
      <w:pPr>
        <w:spacing w:line="400" w:lineRule="exact"/>
        <w:rPr>
          <w:rFonts w:ascii="微软雅黑" w:eastAsia="微软雅黑" w:hAnsi="微软雅黑" w:cs="宋体"/>
          <w:sz w:val="24"/>
        </w:rPr>
      </w:pP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sz w:val="24"/>
        </w:rPr>
        <w:t>为正确审理涉外民商事案件，根据《中华人民共和国对外关系法》、《中华人民共和国涉外民事关系法律适用法》等法律，结合审判实践，制定本解释。</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第一条</w:t>
      </w:r>
      <w:r w:rsidRPr="00C4110A">
        <w:rPr>
          <w:rFonts w:ascii="微软雅黑" w:eastAsia="微软雅黑" w:hAnsi="微软雅黑"/>
          <w:sz w:val="24"/>
        </w:rPr>
        <w:t xml:space="preserve">　人民法院审理《中华人民共和国海商法》、《中华人民共和国票据法》、《中华人民共和国民用航空法》、《中华人民共和国海上交通安全法》调整的涉外民商事案件，涉及适用国际条约的，分别按照《中华人民共和国海商法》第二百六十八条、《中华人民共和国票据法》第九十五条、《中华人民共和国民用航空法》第一百八十四条、《中华人民共和国海上交通安全法》第一百二十一条的规定予以适用。</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sz w:val="24"/>
        </w:rPr>
        <w:t>人民法院审理上述法律调整范围之外的其他涉外民商事案件，涉及适用国际条约的，参照上述法律的规定。国际条约与中华人民共和国法律有不同规定的，适用国际条约的规定，但中华人民共和国声明保留的条款除外。</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第二条</w:t>
      </w:r>
      <w:r w:rsidRPr="00C4110A">
        <w:rPr>
          <w:rFonts w:ascii="微软雅黑" w:eastAsia="微软雅黑" w:hAnsi="微软雅黑"/>
          <w:sz w:val="24"/>
        </w:rPr>
        <w:t xml:space="preserve">　涉外民商事案件涉及两项或多项国际条约的适用时，人民法院应当根据国际条约中的适用关系条款确定应当适用的国际条约。</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第三条</w:t>
      </w:r>
      <w:r w:rsidRPr="00C4110A">
        <w:rPr>
          <w:rFonts w:ascii="微软雅黑" w:eastAsia="微软雅黑" w:hAnsi="微软雅黑"/>
          <w:sz w:val="24"/>
        </w:rPr>
        <w:t xml:space="preserve">　国际条约规定当事人可以约定排除或部分排除国际条约的适用，当事人主张依据其约定排除或部分排除国际条约适用的，人民法院予以支持。国际条约限制当事人排除或部分排除国际条约的适用，当事人主张依据其约定排除或部分排除国际条约适用的，人民法院不予支持。</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第四条</w:t>
      </w:r>
      <w:r w:rsidRPr="00C4110A">
        <w:rPr>
          <w:rFonts w:ascii="微软雅黑" w:eastAsia="微软雅黑" w:hAnsi="微软雅黑"/>
          <w:sz w:val="24"/>
        </w:rPr>
        <w:t xml:space="preserve">　当事人在合同中援引尚未对中华人民共和国生效的国际条约的，人民法院可以根据该国际条约的内容确定当事人之间的权利义务，但违反中华人民共和国法律、行政法规强制性规定或者损害中华人民共和国主权、安全和社会公共利益的除外。</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第五条</w:t>
      </w:r>
      <w:r w:rsidRPr="00C4110A">
        <w:rPr>
          <w:rFonts w:ascii="微软雅黑" w:eastAsia="微软雅黑" w:hAnsi="微软雅黑"/>
          <w:sz w:val="24"/>
        </w:rPr>
        <w:t xml:space="preserve">　涉外民商事合同当事人明示选择适用国际惯例，当事人主张根据国际惯例确定合同当事人之间的权利义务的，人民法院应</w:t>
      </w:r>
      <w:proofErr w:type="gramStart"/>
      <w:r w:rsidRPr="00C4110A">
        <w:rPr>
          <w:rFonts w:ascii="微软雅黑" w:eastAsia="微软雅黑" w:hAnsi="微软雅黑"/>
          <w:sz w:val="24"/>
        </w:rPr>
        <w:t>予支</w:t>
      </w:r>
      <w:proofErr w:type="gramEnd"/>
      <w:r w:rsidRPr="00C4110A">
        <w:rPr>
          <w:rFonts w:ascii="微软雅黑" w:eastAsia="微软雅黑" w:hAnsi="微软雅黑"/>
          <w:sz w:val="24"/>
        </w:rPr>
        <w:t>持。</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第六条</w:t>
      </w:r>
      <w:r w:rsidRPr="00C4110A">
        <w:rPr>
          <w:rFonts w:ascii="微软雅黑" w:eastAsia="微软雅黑" w:hAnsi="微软雅黑"/>
          <w:sz w:val="24"/>
        </w:rPr>
        <w:t xml:space="preserve">　中华人民共和国法律和中华人民共和国缔结或者参加的国际条约没有规定的，人民法院可以适用国际惯例。当事人仅以未明示选择为由主张排除适用国际惯例的，人民法院不予支持。</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第七条</w:t>
      </w:r>
      <w:r w:rsidRPr="00C4110A">
        <w:rPr>
          <w:rFonts w:ascii="微软雅黑" w:eastAsia="微软雅黑" w:hAnsi="微软雅黑"/>
          <w:sz w:val="24"/>
        </w:rPr>
        <w:t xml:space="preserve">　适用国际条约和国际惯例损害中华人民共和国主权、安全和社会公共利益的，人民法院不予适用。</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第八条</w:t>
      </w:r>
      <w:r w:rsidRPr="00C4110A">
        <w:rPr>
          <w:rFonts w:ascii="微软雅黑" w:eastAsia="微软雅黑" w:hAnsi="微软雅黑"/>
          <w:sz w:val="24"/>
        </w:rPr>
        <w:t xml:space="preserve">　本</w:t>
      </w:r>
      <w:proofErr w:type="gramStart"/>
      <w:r w:rsidRPr="00C4110A">
        <w:rPr>
          <w:rFonts w:ascii="微软雅黑" w:eastAsia="微软雅黑" w:hAnsi="微软雅黑"/>
          <w:sz w:val="24"/>
        </w:rPr>
        <w:t>解释自</w:t>
      </w:r>
      <w:proofErr w:type="gramEnd"/>
      <w:r w:rsidRPr="00C4110A">
        <w:rPr>
          <w:rFonts w:ascii="微软雅黑" w:eastAsia="微软雅黑" w:hAnsi="微软雅黑"/>
          <w:sz w:val="24"/>
        </w:rPr>
        <w:t>2024年1月1日起施行。</w:t>
      </w:r>
    </w:p>
    <w:p w:rsidR="00EC2A79" w:rsidRPr="00C4110A" w:rsidRDefault="00E621AE" w:rsidP="00CE2A2C">
      <w:pPr>
        <w:spacing w:line="400" w:lineRule="exact"/>
        <w:ind w:firstLineChars="200" w:firstLine="472"/>
        <w:rPr>
          <w:rFonts w:ascii="微软雅黑" w:eastAsia="微软雅黑" w:hAnsi="微软雅黑"/>
          <w:sz w:val="24"/>
        </w:rPr>
      </w:pPr>
      <w:r w:rsidRPr="00C4110A">
        <w:rPr>
          <w:rFonts w:ascii="微软雅黑" w:eastAsia="微软雅黑" w:hAnsi="微软雅黑"/>
          <w:b/>
          <w:bCs/>
          <w:sz w:val="24"/>
        </w:rPr>
        <w:t>第九条</w:t>
      </w:r>
      <w:r w:rsidRPr="00C4110A">
        <w:rPr>
          <w:rFonts w:ascii="微软雅黑" w:eastAsia="微软雅黑" w:hAnsi="微软雅黑"/>
          <w:sz w:val="24"/>
        </w:rPr>
        <w:t xml:space="preserve">　最高人民法院以前发布的司法解释与本解释不一致的，以本解释为准。</w:t>
      </w:r>
    </w:p>
    <w:sectPr w:rsidR="00EC2A79" w:rsidRPr="00C4110A" w:rsidSect="00CE2A2C">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F8E" w:rsidRDefault="004D1F8E">
      <w:r>
        <w:separator/>
      </w:r>
    </w:p>
  </w:endnote>
  <w:endnote w:type="continuationSeparator" w:id="0">
    <w:p w:rsidR="004D1F8E" w:rsidRDefault="004D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A79" w:rsidRDefault="00E621AE">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A79" w:rsidRDefault="00E621AE">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F8E" w:rsidRDefault="004D1F8E">
      <w:r>
        <w:separator/>
      </w:r>
    </w:p>
  </w:footnote>
  <w:footnote w:type="continuationSeparator" w:id="0">
    <w:p w:rsidR="004D1F8E" w:rsidRDefault="004D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1F8E"/>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91C72"/>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4110A"/>
    <w:rsid w:val="00C97FAE"/>
    <w:rsid w:val="00CC1CE5"/>
    <w:rsid w:val="00CC393A"/>
    <w:rsid w:val="00CE2A2C"/>
    <w:rsid w:val="00D0095F"/>
    <w:rsid w:val="00D50578"/>
    <w:rsid w:val="00D625F1"/>
    <w:rsid w:val="00D64B65"/>
    <w:rsid w:val="00D677FE"/>
    <w:rsid w:val="00DB69C0"/>
    <w:rsid w:val="00DB7DE9"/>
    <w:rsid w:val="00DC4D4C"/>
    <w:rsid w:val="00DD7D16"/>
    <w:rsid w:val="00E621AE"/>
    <w:rsid w:val="00EA2922"/>
    <w:rsid w:val="00EC2A79"/>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C7206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78C6C3-AA4D-4581-9207-47437C1C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